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38" w:rsidRPr="00CA246A" w:rsidRDefault="00CA246A" w:rsidP="00CA246A">
      <w:pPr>
        <w:spacing w:line="320" w:lineRule="atLeast"/>
        <w:jc w:val="both"/>
        <w:rPr>
          <w:b/>
          <w:szCs w:val="24"/>
        </w:rPr>
      </w:pPr>
      <w:r w:rsidRPr="00CA246A">
        <w:rPr>
          <w:b/>
          <w:sz w:val="32"/>
          <w:szCs w:val="32"/>
        </w:rPr>
        <w:t>Bundesrat</w:t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 w:val="32"/>
          <w:szCs w:val="32"/>
        </w:rPr>
        <w:tab/>
      </w:r>
      <w:r w:rsidRPr="00CA246A">
        <w:rPr>
          <w:b/>
          <w:szCs w:val="24"/>
        </w:rPr>
        <w:t>Drucksache</w:t>
      </w:r>
    </w:p>
    <w:p w:rsidR="00CA4238" w:rsidRDefault="00CA4238" w:rsidP="00CA246A">
      <w:pPr>
        <w:spacing w:line="320" w:lineRule="atLeast"/>
        <w:jc w:val="both"/>
        <w:rPr>
          <w:sz w:val="22"/>
        </w:rPr>
      </w:pPr>
    </w:p>
    <w:p w:rsidR="007D0AFF" w:rsidRDefault="007D0AFF" w:rsidP="00CA246A">
      <w:pPr>
        <w:spacing w:line="320" w:lineRule="atLeast"/>
        <w:jc w:val="both"/>
        <w:rPr>
          <w:sz w:val="22"/>
        </w:rPr>
      </w:pPr>
    </w:p>
    <w:p w:rsidR="007D0AFF" w:rsidRDefault="007D0AFF" w:rsidP="00CA246A">
      <w:pPr>
        <w:spacing w:line="320" w:lineRule="atLeast"/>
        <w:jc w:val="both"/>
        <w:rPr>
          <w:sz w:val="22"/>
        </w:rPr>
      </w:pPr>
    </w:p>
    <w:p w:rsidR="00CA246A" w:rsidRDefault="00CA246A" w:rsidP="00CA246A">
      <w:pPr>
        <w:spacing w:line="320" w:lineRule="atLeast"/>
        <w:jc w:val="both"/>
        <w:rPr>
          <w:sz w:val="22"/>
        </w:rPr>
      </w:pPr>
    </w:p>
    <w:p w:rsidR="00CA246A" w:rsidRDefault="00CA246A" w:rsidP="00CA246A">
      <w:pPr>
        <w:spacing w:line="320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Antrag</w:t>
      </w:r>
    </w:p>
    <w:p w:rsidR="00CA246A" w:rsidRDefault="00CA246A" w:rsidP="00CA246A">
      <w:pPr>
        <w:pBdr>
          <w:bottom w:val="single" w:sz="12" w:space="1" w:color="auto"/>
        </w:pBdr>
        <w:spacing w:line="32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der Freien und Hansestadt Hamburg</w:t>
      </w:r>
    </w:p>
    <w:p w:rsidR="00CA246A" w:rsidRDefault="00CA246A" w:rsidP="00CA246A">
      <w:pPr>
        <w:spacing w:line="320" w:lineRule="atLeast"/>
        <w:jc w:val="both"/>
        <w:rPr>
          <w:sz w:val="22"/>
          <w:szCs w:val="22"/>
        </w:rPr>
      </w:pPr>
    </w:p>
    <w:p w:rsidR="00CA246A" w:rsidRDefault="00CA246A" w:rsidP="00CA246A">
      <w:pPr>
        <w:spacing w:line="320" w:lineRule="atLeast"/>
        <w:jc w:val="both"/>
        <w:rPr>
          <w:sz w:val="22"/>
          <w:szCs w:val="22"/>
        </w:rPr>
      </w:pPr>
    </w:p>
    <w:p w:rsidR="00CA246A" w:rsidRDefault="00CA246A" w:rsidP="00CA246A">
      <w:pPr>
        <w:spacing w:line="32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Entschließung</w:t>
      </w:r>
      <w:r w:rsidR="004F7157">
        <w:rPr>
          <w:b/>
          <w:sz w:val="22"/>
          <w:szCs w:val="22"/>
        </w:rPr>
        <w:t xml:space="preserve"> des Bundesrates zur Öffnung der Ehe für Personen gleichen G</w:t>
      </w:r>
      <w:r w:rsidR="004F7157">
        <w:rPr>
          <w:b/>
          <w:sz w:val="22"/>
          <w:szCs w:val="22"/>
        </w:rPr>
        <w:t>e</w:t>
      </w:r>
      <w:r w:rsidR="004F7157">
        <w:rPr>
          <w:b/>
          <w:sz w:val="22"/>
          <w:szCs w:val="22"/>
        </w:rPr>
        <w:t>schlechts</w:t>
      </w:r>
    </w:p>
    <w:p w:rsidR="004F7157" w:rsidRDefault="004F7157" w:rsidP="00CA246A">
      <w:pPr>
        <w:spacing w:line="320" w:lineRule="atLeast"/>
        <w:jc w:val="both"/>
        <w:rPr>
          <w:sz w:val="22"/>
          <w:szCs w:val="22"/>
        </w:rPr>
      </w:pPr>
    </w:p>
    <w:p w:rsidR="004F7157" w:rsidRDefault="00980CB0" w:rsidP="00CA246A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Der Bundesrat möge beschließen:</w:t>
      </w:r>
    </w:p>
    <w:p w:rsidR="00980CB0" w:rsidRDefault="00980CB0" w:rsidP="00CA246A">
      <w:pPr>
        <w:spacing w:line="320" w:lineRule="atLeast"/>
        <w:jc w:val="both"/>
        <w:rPr>
          <w:sz w:val="22"/>
          <w:szCs w:val="22"/>
        </w:rPr>
      </w:pPr>
    </w:p>
    <w:p w:rsidR="004F7157" w:rsidRDefault="00E521A7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Der Bundesrat fordert die Bundesregierung auf, einen Gesetzentwurf vorzulegen, der die Öffnung der Ehe für Personen gleichen Geschlechts beinhaltet.</w:t>
      </w:r>
    </w:p>
    <w:p w:rsidR="00E521A7" w:rsidRDefault="00E521A7" w:rsidP="004F7157">
      <w:pPr>
        <w:spacing w:line="320" w:lineRule="atLeast"/>
        <w:jc w:val="both"/>
        <w:rPr>
          <w:sz w:val="22"/>
          <w:szCs w:val="22"/>
        </w:rPr>
      </w:pPr>
    </w:p>
    <w:p w:rsidR="00C1746E" w:rsidRDefault="00C1746E" w:rsidP="004F7157">
      <w:pPr>
        <w:spacing w:line="320" w:lineRule="atLeast"/>
        <w:jc w:val="both"/>
        <w:rPr>
          <w:sz w:val="22"/>
          <w:szCs w:val="22"/>
        </w:rPr>
      </w:pPr>
    </w:p>
    <w:p w:rsidR="00C1746E" w:rsidRPr="00C1746E" w:rsidRDefault="00C1746E" w:rsidP="004F7157">
      <w:pPr>
        <w:spacing w:line="320" w:lineRule="atLeast"/>
        <w:jc w:val="both"/>
        <w:rPr>
          <w:sz w:val="22"/>
          <w:szCs w:val="22"/>
          <w:u w:val="single"/>
        </w:rPr>
      </w:pPr>
      <w:r w:rsidRPr="00C1746E">
        <w:rPr>
          <w:sz w:val="22"/>
          <w:szCs w:val="22"/>
          <w:u w:val="single"/>
        </w:rPr>
        <w:t xml:space="preserve">Begründung: </w:t>
      </w:r>
    </w:p>
    <w:p w:rsidR="00C1746E" w:rsidRDefault="00C1746E" w:rsidP="004F7157">
      <w:pPr>
        <w:spacing w:line="320" w:lineRule="atLeast"/>
        <w:jc w:val="both"/>
        <w:rPr>
          <w:sz w:val="22"/>
          <w:szCs w:val="22"/>
        </w:rPr>
      </w:pPr>
    </w:p>
    <w:p w:rsidR="00D67A99" w:rsidRDefault="00E521A7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Mit dem Lebenspartnerschaftsgesetz vom 16. Februar 2001 ist zwei Menschen gleichen Geschlechts die Begründung einer Lebenspartnerschaft ermöglicht worden</w:t>
      </w:r>
      <w:r w:rsidR="00D67A99">
        <w:rPr>
          <w:sz w:val="22"/>
          <w:szCs w:val="22"/>
        </w:rPr>
        <w:t>. D</w:t>
      </w:r>
      <w:r>
        <w:rPr>
          <w:sz w:val="22"/>
          <w:szCs w:val="22"/>
        </w:rPr>
        <w:t xml:space="preserve">amit </w:t>
      </w:r>
      <w:r w:rsidR="00E71655">
        <w:rPr>
          <w:sz w:val="22"/>
          <w:szCs w:val="22"/>
        </w:rPr>
        <w:t xml:space="preserve">ist </w:t>
      </w:r>
      <w:r>
        <w:rPr>
          <w:sz w:val="22"/>
          <w:szCs w:val="22"/>
        </w:rPr>
        <w:t xml:space="preserve">in </w:t>
      </w:r>
      <w:r w:rsidR="00087B42">
        <w:rPr>
          <w:sz w:val="22"/>
          <w:szCs w:val="22"/>
        </w:rPr>
        <w:t xml:space="preserve">weiten Teilen </w:t>
      </w:r>
      <w:r>
        <w:rPr>
          <w:sz w:val="22"/>
          <w:szCs w:val="22"/>
        </w:rPr>
        <w:t>der Gesellschaft ein deutlicher Abbau von Diskriminierung</w:t>
      </w:r>
      <w:r w:rsidR="00087B42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="000549F6">
        <w:rPr>
          <w:sz w:val="22"/>
          <w:szCs w:val="22"/>
        </w:rPr>
        <w:t xml:space="preserve">eingetreten und </w:t>
      </w:r>
      <w:r w:rsidR="004663B2">
        <w:rPr>
          <w:sz w:val="22"/>
          <w:szCs w:val="22"/>
        </w:rPr>
        <w:t xml:space="preserve">ein Wandel des Eheverständnisses </w:t>
      </w:r>
      <w:r>
        <w:rPr>
          <w:sz w:val="22"/>
          <w:szCs w:val="22"/>
        </w:rPr>
        <w:t xml:space="preserve">einhergegangen. Die durch das </w:t>
      </w:r>
      <w:r w:rsidR="00E71655">
        <w:rPr>
          <w:sz w:val="22"/>
          <w:szCs w:val="22"/>
        </w:rPr>
        <w:t>Lebenspartnerschaft</w:t>
      </w:r>
      <w:r w:rsidR="00E71655">
        <w:rPr>
          <w:sz w:val="22"/>
          <w:szCs w:val="22"/>
        </w:rPr>
        <w:t>s</w:t>
      </w:r>
      <w:r w:rsidR="00E71655">
        <w:rPr>
          <w:sz w:val="22"/>
          <w:szCs w:val="22"/>
        </w:rPr>
        <w:t>g</w:t>
      </w:r>
      <w:r>
        <w:rPr>
          <w:sz w:val="22"/>
          <w:szCs w:val="22"/>
        </w:rPr>
        <w:t>esetz beabsichtigte rechtliche Gleichstellung von eingetragenen Lebenspartnerschaften mit Ehe</w:t>
      </w:r>
      <w:r w:rsidR="00E71655">
        <w:rPr>
          <w:sz w:val="22"/>
          <w:szCs w:val="22"/>
        </w:rPr>
        <w:t>paaren</w:t>
      </w:r>
      <w:r>
        <w:rPr>
          <w:sz w:val="22"/>
          <w:szCs w:val="22"/>
        </w:rPr>
        <w:t xml:space="preserve"> ist </w:t>
      </w:r>
      <w:r w:rsidR="00D67A99">
        <w:rPr>
          <w:sz w:val="22"/>
          <w:szCs w:val="22"/>
        </w:rPr>
        <w:t xml:space="preserve">auch </w:t>
      </w:r>
      <w:r>
        <w:rPr>
          <w:sz w:val="22"/>
          <w:szCs w:val="22"/>
        </w:rPr>
        <w:t xml:space="preserve">in weiten Teilen des Rechts </w:t>
      </w:r>
      <w:r w:rsidR="00D67A99">
        <w:rPr>
          <w:sz w:val="22"/>
          <w:szCs w:val="22"/>
        </w:rPr>
        <w:t>nach</w:t>
      </w:r>
      <w:r>
        <w:rPr>
          <w:sz w:val="22"/>
          <w:szCs w:val="22"/>
        </w:rPr>
        <w:t xml:space="preserve">vollzogen worden. Dennoch ist es mehrfach erst das Bundesverfassungsgericht gewesen, das </w:t>
      </w:r>
      <w:r w:rsidR="00D67A99">
        <w:rPr>
          <w:sz w:val="22"/>
          <w:szCs w:val="22"/>
        </w:rPr>
        <w:t xml:space="preserve">eine noch </w:t>
      </w:r>
      <w:r>
        <w:rPr>
          <w:sz w:val="22"/>
          <w:szCs w:val="22"/>
        </w:rPr>
        <w:t>weiterhin bestehe</w:t>
      </w:r>
      <w:r>
        <w:rPr>
          <w:sz w:val="22"/>
          <w:szCs w:val="22"/>
        </w:rPr>
        <w:t>n</w:t>
      </w:r>
      <w:r>
        <w:rPr>
          <w:sz w:val="22"/>
          <w:szCs w:val="22"/>
        </w:rPr>
        <w:t>de Ungleichbehandlung beanstandet hat</w:t>
      </w:r>
      <w:r w:rsidR="00D67A99">
        <w:rPr>
          <w:sz w:val="22"/>
          <w:szCs w:val="22"/>
        </w:rPr>
        <w:t xml:space="preserve">. </w:t>
      </w:r>
    </w:p>
    <w:p w:rsidR="00D67A99" w:rsidRDefault="00D67A99" w:rsidP="004F7157">
      <w:pPr>
        <w:spacing w:line="320" w:lineRule="atLeast"/>
        <w:jc w:val="both"/>
        <w:rPr>
          <w:sz w:val="22"/>
          <w:szCs w:val="22"/>
        </w:rPr>
      </w:pPr>
    </w:p>
    <w:p w:rsidR="004663B2" w:rsidRDefault="00980CB0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So hat d</w:t>
      </w:r>
      <w:r w:rsidR="00D67A99">
        <w:rPr>
          <w:sz w:val="22"/>
          <w:szCs w:val="22"/>
        </w:rPr>
        <w:t>as Bundesverfassungsgericht am 19. Februar 2013 d</w:t>
      </w:r>
      <w:r w:rsidR="004932E1">
        <w:rPr>
          <w:sz w:val="22"/>
          <w:szCs w:val="22"/>
        </w:rPr>
        <w:t>ie Nichtzulassung d</w:t>
      </w:r>
      <w:r w:rsidR="00D67A99">
        <w:rPr>
          <w:sz w:val="22"/>
          <w:szCs w:val="22"/>
        </w:rPr>
        <w:t>er su</w:t>
      </w:r>
      <w:r w:rsidR="00D67A99">
        <w:rPr>
          <w:sz w:val="22"/>
          <w:szCs w:val="22"/>
        </w:rPr>
        <w:t>k</w:t>
      </w:r>
      <w:r w:rsidR="00D67A99">
        <w:rPr>
          <w:sz w:val="22"/>
          <w:szCs w:val="22"/>
        </w:rPr>
        <w:t xml:space="preserve">zessiven Adoption </w:t>
      </w:r>
      <w:r w:rsidR="004932E1">
        <w:rPr>
          <w:sz w:val="22"/>
          <w:szCs w:val="22"/>
        </w:rPr>
        <w:t xml:space="preserve">angenommener Kinder </w:t>
      </w:r>
      <w:r w:rsidR="008926A9">
        <w:rPr>
          <w:sz w:val="22"/>
          <w:szCs w:val="22"/>
        </w:rPr>
        <w:t>eingetragene</w:t>
      </w:r>
      <w:r w:rsidR="004932E1">
        <w:rPr>
          <w:sz w:val="22"/>
          <w:szCs w:val="22"/>
        </w:rPr>
        <w:t>r</w:t>
      </w:r>
      <w:r w:rsidR="008926A9">
        <w:rPr>
          <w:sz w:val="22"/>
          <w:szCs w:val="22"/>
        </w:rPr>
        <w:t xml:space="preserve"> </w:t>
      </w:r>
      <w:r w:rsidR="00D67A99">
        <w:rPr>
          <w:sz w:val="22"/>
          <w:szCs w:val="22"/>
        </w:rPr>
        <w:t xml:space="preserve">Lebenspartner </w:t>
      </w:r>
      <w:r w:rsidR="004932E1">
        <w:rPr>
          <w:sz w:val="22"/>
          <w:szCs w:val="22"/>
        </w:rPr>
        <w:t xml:space="preserve">durch den anderen Lebenspartner </w:t>
      </w:r>
      <w:r w:rsidR="00D67A99">
        <w:rPr>
          <w:sz w:val="22"/>
          <w:szCs w:val="22"/>
        </w:rPr>
        <w:t xml:space="preserve">für unvereinbar mit dem Grundgesetz erklärt (1 </w:t>
      </w:r>
      <w:proofErr w:type="spellStart"/>
      <w:r w:rsidR="00D67A99">
        <w:rPr>
          <w:sz w:val="22"/>
          <w:szCs w:val="22"/>
        </w:rPr>
        <w:t>BvL</w:t>
      </w:r>
      <w:proofErr w:type="spellEnd"/>
      <w:r w:rsidR="00D67A99">
        <w:rPr>
          <w:sz w:val="22"/>
          <w:szCs w:val="22"/>
        </w:rPr>
        <w:t xml:space="preserve"> 1/11</w:t>
      </w:r>
      <w:r w:rsidR="008926A9">
        <w:rPr>
          <w:sz w:val="22"/>
          <w:szCs w:val="22"/>
        </w:rPr>
        <w:t xml:space="preserve">, 1 </w:t>
      </w:r>
      <w:proofErr w:type="spellStart"/>
      <w:r w:rsidR="008926A9">
        <w:rPr>
          <w:sz w:val="22"/>
          <w:szCs w:val="22"/>
        </w:rPr>
        <w:t>BvR</w:t>
      </w:r>
      <w:proofErr w:type="spellEnd"/>
      <w:r w:rsidR="008926A9">
        <w:rPr>
          <w:sz w:val="22"/>
          <w:szCs w:val="22"/>
        </w:rPr>
        <w:t xml:space="preserve"> 3247/09</w:t>
      </w:r>
      <w:r w:rsidR="00D67A99">
        <w:rPr>
          <w:sz w:val="22"/>
          <w:szCs w:val="22"/>
        </w:rPr>
        <w:t>). Diese Entscheidung reiht sich ein in die Entscheidungen des Bundesverfassungsgerichts, mit denen gesetzliche Regelungen beanstan</w:t>
      </w:r>
      <w:r w:rsidR="000549F6">
        <w:rPr>
          <w:sz w:val="22"/>
          <w:szCs w:val="22"/>
        </w:rPr>
        <w:t>det worden sind, die ei</w:t>
      </w:r>
      <w:r w:rsidR="00D67A99">
        <w:rPr>
          <w:sz w:val="22"/>
          <w:szCs w:val="22"/>
        </w:rPr>
        <w:t>n</w:t>
      </w:r>
      <w:r w:rsidR="000549F6">
        <w:rPr>
          <w:sz w:val="22"/>
          <w:szCs w:val="22"/>
        </w:rPr>
        <w:t>e</w:t>
      </w:r>
      <w:r w:rsidR="00D67A99">
        <w:rPr>
          <w:sz w:val="22"/>
          <w:szCs w:val="22"/>
        </w:rPr>
        <w:t xml:space="preserve"> Ungl</w:t>
      </w:r>
      <w:r w:rsidR="000549F6">
        <w:rPr>
          <w:sz w:val="22"/>
          <w:szCs w:val="22"/>
        </w:rPr>
        <w:t>eichbehandl</w:t>
      </w:r>
      <w:r w:rsidR="00D67A99">
        <w:rPr>
          <w:sz w:val="22"/>
          <w:szCs w:val="22"/>
        </w:rPr>
        <w:t>ung von eingetragene</w:t>
      </w:r>
      <w:r w:rsidR="00AD157C">
        <w:rPr>
          <w:sz w:val="22"/>
          <w:szCs w:val="22"/>
        </w:rPr>
        <w:t>r</w:t>
      </w:r>
      <w:r w:rsidR="00D67A99">
        <w:rPr>
          <w:sz w:val="22"/>
          <w:szCs w:val="22"/>
        </w:rPr>
        <w:t xml:space="preserve"> Lebenspartnerschaft </w:t>
      </w:r>
      <w:r w:rsidR="00AD157C">
        <w:rPr>
          <w:sz w:val="22"/>
          <w:szCs w:val="22"/>
        </w:rPr>
        <w:t xml:space="preserve">und </w:t>
      </w:r>
      <w:r w:rsidR="00D67A99">
        <w:rPr>
          <w:sz w:val="22"/>
          <w:szCs w:val="22"/>
        </w:rPr>
        <w:t xml:space="preserve">Ehe enthalten </w:t>
      </w:r>
      <w:r w:rsidR="00E521A7">
        <w:rPr>
          <w:sz w:val="22"/>
          <w:szCs w:val="22"/>
        </w:rPr>
        <w:t xml:space="preserve">(vgl. </w:t>
      </w:r>
      <w:r w:rsidR="000549F6">
        <w:rPr>
          <w:sz w:val="22"/>
          <w:szCs w:val="22"/>
        </w:rPr>
        <w:t xml:space="preserve">BVerfG, </w:t>
      </w:r>
      <w:r>
        <w:rPr>
          <w:sz w:val="22"/>
          <w:szCs w:val="22"/>
        </w:rPr>
        <w:t xml:space="preserve">Beschluss vom </w:t>
      </w:r>
      <w:r w:rsidR="000549F6">
        <w:rPr>
          <w:sz w:val="22"/>
          <w:szCs w:val="22"/>
        </w:rPr>
        <w:t xml:space="preserve">27.05.2008, 1 </w:t>
      </w:r>
      <w:proofErr w:type="spellStart"/>
      <w:r w:rsidR="000549F6">
        <w:rPr>
          <w:sz w:val="22"/>
          <w:szCs w:val="22"/>
        </w:rPr>
        <w:t>BvL</w:t>
      </w:r>
      <w:proofErr w:type="spellEnd"/>
      <w:r w:rsidR="000549F6">
        <w:rPr>
          <w:sz w:val="22"/>
          <w:szCs w:val="22"/>
        </w:rPr>
        <w:t xml:space="preserve"> 10/05 zum </w:t>
      </w:r>
      <w:proofErr w:type="spellStart"/>
      <w:r w:rsidR="000549F6">
        <w:rPr>
          <w:sz w:val="22"/>
          <w:szCs w:val="22"/>
        </w:rPr>
        <w:t>Transsexuellengesetz</w:t>
      </w:r>
      <w:proofErr w:type="spellEnd"/>
      <w:r w:rsidR="000549F6">
        <w:rPr>
          <w:sz w:val="22"/>
          <w:szCs w:val="22"/>
        </w:rPr>
        <w:t xml:space="preserve">, </w:t>
      </w:r>
      <w:r w:rsidR="005A0817">
        <w:rPr>
          <w:sz w:val="22"/>
          <w:szCs w:val="22"/>
        </w:rPr>
        <w:t xml:space="preserve">BVerfG, Beschluss vom </w:t>
      </w:r>
      <w:r w:rsidR="007E3EFF">
        <w:rPr>
          <w:sz w:val="22"/>
          <w:szCs w:val="22"/>
        </w:rPr>
        <w:t>0</w:t>
      </w:r>
      <w:r w:rsidR="005A0817">
        <w:rPr>
          <w:sz w:val="22"/>
          <w:szCs w:val="22"/>
        </w:rPr>
        <w:t>7.</w:t>
      </w:r>
      <w:r w:rsidR="007E3EFF">
        <w:rPr>
          <w:sz w:val="22"/>
          <w:szCs w:val="22"/>
        </w:rPr>
        <w:t>0</w:t>
      </w:r>
      <w:r w:rsidR="005A0817">
        <w:rPr>
          <w:sz w:val="22"/>
          <w:szCs w:val="22"/>
        </w:rPr>
        <w:t xml:space="preserve">7.2009, </w:t>
      </w:r>
      <w:r w:rsidR="00E521A7">
        <w:rPr>
          <w:sz w:val="22"/>
          <w:szCs w:val="22"/>
        </w:rPr>
        <w:t xml:space="preserve">1 </w:t>
      </w:r>
      <w:proofErr w:type="spellStart"/>
      <w:r w:rsidR="00E521A7">
        <w:rPr>
          <w:sz w:val="22"/>
          <w:szCs w:val="22"/>
        </w:rPr>
        <w:t>BvR</w:t>
      </w:r>
      <w:proofErr w:type="spellEnd"/>
      <w:r w:rsidR="00E521A7">
        <w:rPr>
          <w:sz w:val="22"/>
          <w:szCs w:val="22"/>
        </w:rPr>
        <w:t xml:space="preserve"> 1164/07 zur Hinterbliebenenversorgung, </w:t>
      </w:r>
      <w:r w:rsidR="0071488A">
        <w:rPr>
          <w:sz w:val="22"/>
          <w:szCs w:val="22"/>
        </w:rPr>
        <w:t xml:space="preserve">BVerfG, Beschluss vom 21.07.2010, </w:t>
      </w:r>
      <w:r w:rsidR="00E521A7">
        <w:rPr>
          <w:sz w:val="22"/>
          <w:szCs w:val="22"/>
        </w:rPr>
        <w:t xml:space="preserve">1 </w:t>
      </w:r>
      <w:proofErr w:type="spellStart"/>
      <w:r w:rsidR="00E521A7">
        <w:rPr>
          <w:sz w:val="22"/>
          <w:szCs w:val="22"/>
        </w:rPr>
        <w:t>BvR</w:t>
      </w:r>
      <w:proofErr w:type="spellEnd"/>
      <w:r w:rsidR="00E521A7">
        <w:rPr>
          <w:sz w:val="22"/>
          <w:szCs w:val="22"/>
        </w:rPr>
        <w:t xml:space="preserve"> 611/07</w:t>
      </w:r>
      <w:r w:rsidR="0071488A">
        <w:rPr>
          <w:sz w:val="22"/>
          <w:szCs w:val="22"/>
        </w:rPr>
        <w:t xml:space="preserve">, </w:t>
      </w:r>
      <w:r w:rsidR="00E521A7">
        <w:rPr>
          <w:sz w:val="22"/>
          <w:szCs w:val="22"/>
        </w:rPr>
        <w:t xml:space="preserve">1 </w:t>
      </w:r>
      <w:proofErr w:type="spellStart"/>
      <w:r w:rsidR="00E521A7">
        <w:rPr>
          <w:sz w:val="22"/>
          <w:szCs w:val="22"/>
        </w:rPr>
        <w:t>BvR</w:t>
      </w:r>
      <w:proofErr w:type="spellEnd"/>
      <w:r w:rsidR="00E521A7">
        <w:rPr>
          <w:sz w:val="22"/>
          <w:szCs w:val="22"/>
        </w:rPr>
        <w:t xml:space="preserve"> 2464/07 zur Erbschafts- und Schenkungssteuer, </w:t>
      </w:r>
      <w:r w:rsidR="00FA1191">
        <w:rPr>
          <w:sz w:val="22"/>
          <w:szCs w:val="22"/>
        </w:rPr>
        <w:t xml:space="preserve">BVerfG, </w:t>
      </w:r>
      <w:r w:rsidR="00953A22">
        <w:rPr>
          <w:sz w:val="22"/>
          <w:szCs w:val="22"/>
        </w:rPr>
        <w:t xml:space="preserve">Beschluss vom 19.06.2012, </w:t>
      </w:r>
      <w:r w:rsidR="00E521A7">
        <w:rPr>
          <w:sz w:val="22"/>
          <w:szCs w:val="22"/>
        </w:rPr>
        <w:t xml:space="preserve">2 </w:t>
      </w:r>
      <w:proofErr w:type="spellStart"/>
      <w:r w:rsidR="00E521A7">
        <w:rPr>
          <w:sz w:val="22"/>
          <w:szCs w:val="22"/>
        </w:rPr>
        <w:t>BvR</w:t>
      </w:r>
      <w:proofErr w:type="spellEnd"/>
      <w:r w:rsidR="00E521A7">
        <w:rPr>
          <w:sz w:val="22"/>
          <w:szCs w:val="22"/>
        </w:rPr>
        <w:t xml:space="preserve"> 1397/09 zum beamtenrechtlichen Familienzuschlag, </w:t>
      </w:r>
      <w:r w:rsidR="007E3EFF">
        <w:rPr>
          <w:sz w:val="22"/>
          <w:szCs w:val="22"/>
        </w:rPr>
        <w:t xml:space="preserve">BVerfG, Beschluss vom 18.07.2012, </w:t>
      </w:r>
      <w:r w:rsidR="00E521A7">
        <w:rPr>
          <w:sz w:val="22"/>
          <w:szCs w:val="22"/>
        </w:rPr>
        <w:t xml:space="preserve">1 </w:t>
      </w:r>
      <w:proofErr w:type="spellStart"/>
      <w:r w:rsidR="00E521A7">
        <w:rPr>
          <w:sz w:val="22"/>
          <w:szCs w:val="22"/>
        </w:rPr>
        <w:t>BvL</w:t>
      </w:r>
      <w:proofErr w:type="spellEnd"/>
      <w:r w:rsidR="00E521A7">
        <w:rPr>
          <w:sz w:val="22"/>
          <w:szCs w:val="22"/>
        </w:rPr>
        <w:t xml:space="preserve"> 16/11 zur Grund</w:t>
      </w:r>
      <w:r w:rsidR="000549F6">
        <w:rPr>
          <w:sz w:val="22"/>
          <w:szCs w:val="22"/>
        </w:rPr>
        <w:t>erwerbssteuer</w:t>
      </w:r>
      <w:r w:rsidR="00E521A7">
        <w:rPr>
          <w:sz w:val="22"/>
          <w:szCs w:val="22"/>
        </w:rPr>
        <w:t xml:space="preserve">). </w:t>
      </w:r>
    </w:p>
    <w:p w:rsidR="004663B2" w:rsidRDefault="004663B2" w:rsidP="004F7157">
      <w:pPr>
        <w:spacing w:line="320" w:lineRule="atLeast"/>
        <w:jc w:val="both"/>
        <w:rPr>
          <w:sz w:val="22"/>
          <w:szCs w:val="22"/>
        </w:rPr>
      </w:pPr>
    </w:p>
    <w:p w:rsidR="00E521A7" w:rsidRDefault="00E521A7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r w:rsidR="000446D2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Entscheidung </w:t>
      </w:r>
      <w:r w:rsidR="000446D2">
        <w:rPr>
          <w:sz w:val="22"/>
          <w:szCs w:val="22"/>
        </w:rPr>
        <w:t xml:space="preserve">vom 19. Februar 2013 </w:t>
      </w:r>
      <w:r>
        <w:rPr>
          <w:sz w:val="22"/>
          <w:szCs w:val="22"/>
        </w:rPr>
        <w:t xml:space="preserve">ist einmal mehr deutlich geworden, dass </w:t>
      </w:r>
      <w:r w:rsidR="005D4263">
        <w:rPr>
          <w:sz w:val="22"/>
          <w:szCs w:val="22"/>
        </w:rPr>
        <w:t>dri</w:t>
      </w:r>
      <w:r w:rsidR="005D4263">
        <w:rPr>
          <w:sz w:val="22"/>
          <w:szCs w:val="22"/>
        </w:rPr>
        <w:t>n</w:t>
      </w:r>
      <w:r w:rsidR="005D4263">
        <w:rPr>
          <w:sz w:val="22"/>
          <w:szCs w:val="22"/>
        </w:rPr>
        <w:t>gender gesetzgeberischer Handlungsbedarf zur Beseitigung immer noch bestehender U</w:t>
      </w:r>
      <w:r w:rsidR="005D4263">
        <w:rPr>
          <w:sz w:val="22"/>
          <w:szCs w:val="22"/>
        </w:rPr>
        <w:t>n</w:t>
      </w:r>
      <w:r w:rsidR="005D4263">
        <w:rPr>
          <w:sz w:val="22"/>
          <w:szCs w:val="22"/>
        </w:rPr>
        <w:lastRenderedPageBreak/>
        <w:t>gleichbehandlungen besteht.</w:t>
      </w:r>
      <w:r>
        <w:rPr>
          <w:sz w:val="22"/>
          <w:szCs w:val="22"/>
        </w:rPr>
        <w:t xml:space="preserve"> </w:t>
      </w:r>
      <w:r w:rsidR="005D4263">
        <w:rPr>
          <w:sz w:val="22"/>
          <w:szCs w:val="22"/>
        </w:rPr>
        <w:t xml:space="preserve"> </w:t>
      </w:r>
      <w:r w:rsidR="000446D2">
        <w:rPr>
          <w:sz w:val="22"/>
          <w:szCs w:val="22"/>
        </w:rPr>
        <w:t>Menschen</w:t>
      </w:r>
      <w:r w:rsidR="005D4263">
        <w:rPr>
          <w:sz w:val="22"/>
          <w:szCs w:val="22"/>
        </w:rPr>
        <w:t xml:space="preserve">, die in einer </w:t>
      </w:r>
      <w:r w:rsidR="004663B2">
        <w:rPr>
          <w:sz w:val="22"/>
          <w:szCs w:val="22"/>
        </w:rPr>
        <w:t>eingetragene</w:t>
      </w:r>
      <w:r w:rsidR="005D4263">
        <w:rPr>
          <w:sz w:val="22"/>
          <w:szCs w:val="22"/>
        </w:rPr>
        <w:t>n</w:t>
      </w:r>
      <w:r w:rsidR="004663B2">
        <w:rPr>
          <w:sz w:val="22"/>
          <w:szCs w:val="22"/>
        </w:rPr>
        <w:t xml:space="preserve"> Lebenspartnerschaft</w:t>
      </w:r>
      <w:r w:rsidR="005D4263">
        <w:rPr>
          <w:sz w:val="22"/>
          <w:szCs w:val="22"/>
        </w:rPr>
        <w:t xml:space="preserve"> leben, soll nicht </w:t>
      </w:r>
      <w:r w:rsidR="004663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erst durch </w:t>
      </w:r>
      <w:r w:rsidR="005D4263">
        <w:rPr>
          <w:sz w:val="22"/>
          <w:szCs w:val="22"/>
        </w:rPr>
        <w:t xml:space="preserve">Anrufung </w:t>
      </w:r>
      <w:r>
        <w:rPr>
          <w:sz w:val="22"/>
          <w:szCs w:val="22"/>
        </w:rPr>
        <w:t xml:space="preserve">des Bundesverfassungsgerichts </w:t>
      </w:r>
      <w:r w:rsidR="004663B2">
        <w:rPr>
          <w:sz w:val="22"/>
          <w:szCs w:val="22"/>
        </w:rPr>
        <w:t>sch</w:t>
      </w:r>
      <w:r w:rsidR="00E01E61">
        <w:rPr>
          <w:sz w:val="22"/>
          <w:szCs w:val="22"/>
        </w:rPr>
        <w:t xml:space="preserve">rittweise zu ihrem Recht </w:t>
      </w:r>
      <w:r w:rsidR="005D4263">
        <w:rPr>
          <w:sz w:val="22"/>
          <w:szCs w:val="22"/>
        </w:rPr>
        <w:t>verholfen werden</w:t>
      </w:r>
      <w:r w:rsidR="00E01E61">
        <w:rPr>
          <w:sz w:val="22"/>
          <w:szCs w:val="22"/>
        </w:rPr>
        <w:t>;</w:t>
      </w:r>
      <w:r w:rsidR="004663B2">
        <w:rPr>
          <w:sz w:val="22"/>
          <w:szCs w:val="22"/>
        </w:rPr>
        <w:t xml:space="preserve"> </w:t>
      </w:r>
      <w:r w:rsidR="00E01E61">
        <w:rPr>
          <w:sz w:val="22"/>
          <w:szCs w:val="22"/>
        </w:rPr>
        <w:t xml:space="preserve">vielmehr </w:t>
      </w:r>
      <w:r w:rsidR="004663B2">
        <w:rPr>
          <w:sz w:val="22"/>
          <w:szCs w:val="22"/>
        </w:rPr>
        <w:t xml:space="preserve">ist </w:t>
      </w:r>
      <w:r w:rsidR="00E01E61">
        <w:rPr>
          <w:sz w:val="22"/>
          <w:szCs w:val="22"/>
        </w:rPr>
        <w:t xml:space="preserve">es </w:t>
      </w:r>
      <w:r w:rsidR="006F68C2">
        <w:rPr>
          <w:sz w:val="22"/>
          <w:szCs w:val="22"/>
        </w:rPr>
        <w:t>die Pflicht</w:t>
      </w:r>
      <w:r w:rsidR="004663B2">
        <w:rPr>
          <w:sz w:val="22"/>
          <w:szCs w:val="22"/>
        </w:rPr>
        <w:t xml:space="preserve"> </w:t>
      </w:r>
      <w:r w:rsidR="006F68C2">
        <w:rPr>
          <w:sz w:val="22"/>
          <w:szCs w:val="22"/>
        </w:rPr>
        <w:t>des Bundesgesetzgebers</w:t>
      </w:r>
      <w:bookmarkStart w:id="0" w:name="_GoBack"/>
      <w:bookmarkEnd w:id="0"/>
      <w:r w:rsidR="004663B2">
        <w:rPr>
          <w:sz w:val="22"/>
          <w:szCs w:val="22"/>
        </w:rPr>
        <w:t>, tätig zu we</w:t>
      </w:r>
      <w:r w:rsidR="004663B2">
        <w:rPr>
          <w:sz w:val="22"/>
          <w:szCs w:val="22"/>
        </w:rPr>
        <w:t>r</w:t>
      </w:r>
      <w:r w:rsidR="004663B2">
        <w:rPr>
          <w:sz w:val="22"/>
          <w:szCs w:val="22"/>
        </w:rPr>
        <w:t>den</w:t>
      </w:r>
      <w:r w:rsidR="006F68C2">
        <w:rPr>
          <w:sz w:val="22"/>
          <w:szCs w:val="22"/>
        </w:rPr>
        <w:t>, um</w:t>
      </w:r>
      <w:r w:rsidR="00E01E61">
        <w:rPr>
          <w:sz w:val="22"/>
          <w:szCs w:val="22"/>
        </w:rPr>
        <w:t xml:space="preserve"> </w:t>
      </w:r>
      <w:r w:rsidR="004663B2">
        <w:rPr>
          <w:sz w:val="22"/>
          <w:szCs w:val="22"/>
        </w:rPr>
        <w:t>Ungleichheiten zu beseitigen</w:t>
      </w:r>
      <w:r w:rsidR="006F68C2">
        <w:rPr>
          <w:sz w:val="22"/>
          <w:szCs w:val="22"/>
        </w:rPr>
        <w:t xml:space="preserve"> und dem verfassungsrechtlich verbrieften Recht von Schwulen und Lesben auf Gleichberechtigung endlich Geltung zu verschaffen</w:t>
      </w:r>
      <w:r w:rsidR="004663B2">
        <w:rPr>
          <w:sz w:val="22"/>
          <w:szCs w:val="22"/>
        </w:rPr>
        <w:t xml:space="preserve">. </w:t>
      </w:r>
      <w:r w:rsidR="00FF662C">
        <w:rPr>
          <w:sz w:val="22"/>
          <w:szCs w:val="22"/>
        </w:rPr>
        <w:t>Ziel ist es, alle noch bestehenden rechtlichen Differenzierungen und damit einhergehenden Diskrim</w:t>
      </w:r>
      <w:r w:rsidR="00FF662C">
        <w:rPr>
          <w:sz w:val="22"/>
          <w:szCs w:val="22"/>
        </w:rPr>
        <w:t>i</w:t>
      </w:r>
      <w:r w:rsidR="00FF662C">
        <w:rPr>
          <w:sz w:val="22"/>
          <w:szCs w:val="22"/>
        </w:rPr>
        <w:t>nierungen mit einem Schritt zu bese</w:t>
      </w:r>
      <w:r w:rsidR="00FF662C">
        <w:rPr>
          <w:sz w:val="22"/>
          <w:szCs w:val="22"/>
        </w:rPr>
        <w:t>i</w:t>
      </w:r>
      <w:r w:rsidR="00FF662C">
        <w:rPr>
          <w:sz w:val="22"/>
          <w:szCs w:val="22"/>
        </w:rPr>
        <w:t>tigen.</w:t>
      </w:r>
    </w:p>
    <w:p w:rsidR="004663B2" w:rsidRDefault="004663B2" w:rsidP="004F7157">
      <w:pPr>
        <w:spacing w:line="320" w:lineRule="atLeast"/>
        <w:jc w:val="both"/>
        <w:rPr>
          <w:sz w:val="22"/>
          <w:szCs w:val="22"/>
        </w:rPr>
      </w:pPr>
    </w:p>
    <w:p w:rsidR="00371F5E" w:rsidRDefault="00E521A7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Mit dem Entschließungsantrag wird die Bundesregierung </w:t>
      </w:r>
      <w:r w:rsidR="000446D2">
        <w:rPr>
          <w:sz w:val="22"/>
          <w:szCs w:val="22"/>
        </w:rPr>
        <w:t xml:space="preserve">deshalb </w:t>
      </w:r>
      <w:r>
        <w:rPr>
          <w:sz w:val="22"/>
          <w:szCs w:val="22"/>
        </w:rPr>
        <w:t>aufgefordert, einen G</w:t>
      </w:r>
      <w:r>
        <w:rPr>
          <w:sz w:val="22"/>
          <w:szCs w:val="22"/>
        </w:rPr>
        <w:t>e</w:t>
      </w:r>
      <w:r>
        <w:rPr>
          <w:sz w:val="22"/>
          <w:szCs w:val="22"/>
        </w:rPr>
        <w:t>setzentwurf vorzulegen, der die Öffnung der Ehe für Personen gleichen Geschlechts bei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haltet. </w:t>
      </w:r>
      <w:r w:rsidR="00C46524">
        <w:rPr>
          <w:sz w:val="22"/>
          <w:szCs w:val="22"/>
        </w:rPr>
        <w:t xml:space="preserve">Dabei </w:t>
      </w:r>
      <w:r w:rsidR="000446D2">
        <w:rPr>
          <w:sz w:val="22"/>
          <w:szCs w:val="22"/>
        </w:rPr>
        <w:t>bedarf es an dieser Stelle keiner Entscheidung</w:t>
      </w:r>
      <w:r>
        <w:rPr>
          <w:sz w:val="22"/>
          <w:szCs w:val="22"/>
        </w:rPr>
        <w:t xml:space="preserve">, ob </w:t>
      </w:r>
      <w:r w:rsidR="000446D2">
        <w:rPr>
          <w:sz w:val="22"/>
          <w:szCs w:val="22"/>
        </w:rPr>
        <w:t>auf Grund eines geände</w:t>
      </w:r>
      <w:r w:rsidR="000446D2">
        <w:rPr>
          <w:sz w:val="22"/>
          <w:szCs w:val="22"/>
        </w:rPr>
        <w:t>r</w:t>
      </w:r>
      <w:r w:rsidR="000446D2">
        <w:rPr>
          <w:sz w:val="22"/>
          <w:szCs w:val="22"/>
        </w:rPr>
        <w:t xml:space="preserve">ten Verfassungsverständnisses </w:t>
      </w:r>
      <w:r>
        <w:rPr>
          <w:sz w:val="22"/>
          <w:szCs w:val="22"/>
        </w:rPr>
        <w:t xml:space="preserve">eine einfachgesetzliche Regelung, etwa </w:t>
      </w:r>
      <w:r w:rsidR="00C46524">
        <w:rPr>
          <w:sz w:val="22"/>
          <w:szCs w:val="22"/>
        </w:rPr>
        <w:t xml:space="preserve">durch Änderung des Bürgerlichen Gesetzbuches, ausreichend </w:t>
      </w:r>
      <w:r>
        <w:rPr>
          <w:sz w:val="22"/>
          <w:szCs w:val="22"/>
        </w:rPr>
        <w:t>oder</w:t>
      </w:r>
      <w:r w:rsidR="00C46524">
        <w:rPr>
          <w:sz w:val="22"/>
          <w:szCs w:val="22"/>
        </w:rPr>
        <w:t xml:space="preserve"> </w:t>
      </w:r>
      <w:r>
        <w:rPr>
          <w:sz w:val="22"/>
          <w:szCs w:val="22"/>
        </w:rPr>
        <w:t>eine Änderung des Grundgesetzes e</w:t>
      </w:r>
      <w:r>
        <w:rPr>
          <w:sz w:val="22"/>
          <w:szCs w:val="22"/>
        </w:rPr>
        <w:t>r</w:t>
      </w:r>
      <w:r>
        <w:rPr>
          <w:sz w:val="22"/>
          <w:szCs w:val="22"/>
        </w:rPr>
        <w:t>forderlich ist</w:t>
      </w:r>
      <w:r w:rsidR="000446D2">
        <w:rPr>
          <w:sz w:val="22"/>
          <w:szCs w:val="22"/>
        </w:rPr>
        <w:t>. Diese rechtliche Bewertung</w:t>
      </w:r>
      <w:r w:rsidR="00C46524">
        <w:rPr>
          <w:sz w:val="22"/>
          <w:szCs w:val="22"/>
        </w:rPr>
        <w:t xml:space="preserve"> </w:t>
      </w:r>
      <w:r w:rsidR="000446D2">
        <w:rPr>
          <w:sz w:val="22"/>
          <w:szCs w:val="22"/>
        </w:rPr>
        <w:t>ist vielmehr im Zusammenhang mit der Ausarbe</w:t>
      </w:r>
      <w:r w:rsidR="000446D2">
        <w:rPr>
          <w:sz w:val="22"/>
          <w:szCs w:val="22"/>
        </w:rPr>
        <w:t>i</w:t>
      </w:r>
      <w:r w:rsidR="000446D2">
        <w:rPr>
          <w:sz w:val="22"/>
          <w:szCs w:val="22"/>
        </w:rPr>
        <w:t>tung des konkreten Gesetzentwurfs vorzunehmen</w:t>
      </w:r>
      <w:r w:rsidR="00C46524">
        <w:rPr>
          <w:sz w:val="22"/>
          <w:szCs w:val="22"/>
        </w:rPr>
        <w:t>.</w:t>
      </w:r>
    </w:p>
    <w:p w:rsidR="00E521A7" w:rsidRDefault="00E521A7" w:rsidP="004F7157">
      <w:pPr>
        <w:spacing w:line="320" w:lineRule="atLeast"/>
        <w:jc w:val="both"/>
        <w:rPr>
          <w:sz w:val="22"/>
          <w:szCs w:val="22"/>
        </w:rPr>
      </w:pPr>
    </w:p>
    <w:p w:rsidR="00E521A7" w:rsidRDefault="005D4263" w:rsidP="004F7157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Diese Forderung steht im Einklang mit der </w:t>
      </w:r>
      <w:r w:rsidR="00E521A7">
        <w:rPr>
          <w:sz w:val="22"/>
          <w:szCs w:val="22"/>
        </w:rPr>
        <w:t>Entwicklung auf europäischer Ebene</w:t>
      </w:r>
      <w:r>
        <w:rPr>
          <w:sz w:val="22"/>
          <w:szCs w:val="22"/>
        </w:rPr>
        <w:t xml:space="preserve">. Auch </w:t>
      </w:r>
      <w:r w:rsidR="0043337F">
        <w:rPr>
          <w:sz w:val="22"/>
          <w:szCs w:val="22"/>
        </w:rPr>
        <w:t xml:space="preserve">dort </w:t>
      </w:r>
      <w:r w:rsidR="00A3532B">
        <w:rPr>
          <w:sz w:val="22"/>
          <w:szCs w:val="22"/>
        </w:rPr>
        <w:t xml:space="preserve">zeigt </w:t>
      </w:r>
      <w:r w:rsidR="0043337F">
        <w:rPr>
          <w:sz w:val="22"/>
          <w:szCs w:val="22"/>
        </w:rPr>
        <w:t xml:space="preserve">sich ein </w:t>
      </w:r>
      <w:r w:rsidR="00A3532B">
        <w:rPr>
          <w:sz w:val="22"/>
          <w:szCs w:val="22"/>
        </w:rPr>
        <w:t>deutlich</w:t>
      </w:r>
      <w:r w:rsidR="0043337F">
        <w:rPr>
          <w:sz w:val="22"/>
          <w:szCs w:val="22"/>
        </w:rPr>
        <w:t>er</w:t>
      </w:r>
      <w:r w:rsidR="00A3532B">
        <w:rPr>
          <w:sz w:val="22"/>
          <w:szCs w:val="22"/>
        </w:rPr>
        <w:t xml:space="preserve"> </w:t>
      </w:r>
      <w:r w:rsidR="0043337F">
        <w:rPr>
          <w:sz w:val="22"/>
          <w:szCs w:val="22"/>
        </w:rPr>
        <w:t xml:space="preserve">gesellschaftlicher </w:t>
      </w:r>
      <w:r w:rsidR="00A3532B">
        <w:rPr>
          <w:sz w:val="22"/>
          <w:szCs w:val="22"/>
        </w:rPr>
        <w:t xml:space="preserve">Wandel des Eheverständnisses. </w:t>
      </w:r>
      <w:r w:rsidR="003B6E5C">
        <w:rPr>
          <w:sz w:val="22"/>
          <w:szCs w:val="22"/>
        </w:rPr>
        <w:t>In vielen europ</w:t>
      </w:r>
      <w:r w:rsidR="003B6E5C">
        <w:rPr>
          <w:sz w:val="22"/>
          <w:szCs w:val="22"/>
        </w:rPr>
        <w:t>ä</w:t>
      </w:r>
      <w:r w:rsidR="003B6E5C">
        <w:rPr>
          <w:sz w:val="22"/>
          <w:szCs w:val="22"/>
        </w:rPr>
        <w:t xml:space="preserve">ischen Rechtsordnungen, </w:t>
      </w:r>
      <w:r w:rsidR="00E521A7">
        <w:rPr>
          <w:sz w:val="22"/>
          <w:szCs w:val="22"/>
        </w:rPr>
        <w:t xml:space="preserve">wie z.B. </w:t>
      </w:r>
      <w:r w:rsidR="003B6E5C">
        <w:rPr>
          <w:sz w:val="22"/>
          <w:szCs w:val="22"/>
        </w:rPr>
        <w:t xml:space="preserve">in den </w:t>
      </w:r>
      <w:r w:rsidR="00E521A7">
        <w:rPr>
          <w:sz w:val="22"/>
          <w:szCs w:val="22"/>
        </w:rPr>
        <w:t>Niederlande</w:t>
      </w:r>
      <w:r w:rsidR="003B6E5C">
        <w:rPr>
          <w:sz w:val="22"/>
          <w:szCs w:val="22"/>
        </w:rPr>
        <w:t>n</w:t>
      </w:r>
      <w:r w:rsidR="00E521A7">
        <w:rPr>
          <w:sz w:val="22"/>
          <w:szCs w:val="22"/>
        </w:rPr>
        <w:t xml:space="preserve">, Belgien, Spanien, Norwegen, Schweden und Portugal </w:t>
      </w:r>
      <w:r w:rsidR="0043337F">
        <w:rPr>
          <w:sz w:val="22"/>
          <w:szCs w:val="22"/>
        </w:rPr>
        <w:t xml:space="preserve">geöffnet worden </w:t>
      </w:r>
      <w:r w:rsidR="003B6E5C">
        <w:rPr>
          <w:sz w:val="22"/>
          <w:szCs w:val="22"/>
        </w:rPr>
        <w:t xml:space="preserve">und </w:t>
      </w:r>
      <w:r w:rsidR="00E521A7">
        <w:rPr>
          <w:sz w:val="22"/>
          <w:szCs w:val="22"/>
        </w:rPr>
        <w:t>auch in Großbritannien und Frankreich</w:t>
      </w:r>
      <w:r w:rsidR="0043337F">
        <w:rPr>
          <w:sz w:val="22"/>
          <w:szCs w:val="22"/>
        </w:rPr>
        <w:t xml:space="preserve"> steht</w:t>
      </w:r>
      <w:r w:rsidR="003B6E5C">
        <w:rPr>
          <w:sz w:val="22"/>
          <w:szCs w:val="22"/>
        </w:rPr>
        <w:t xml:space="preserve"> die </w:t>
      </w:r>
      <w:r w:rsidR="0043337F">
        <w:rPr>
          <w:sz w:val="22"/>
          <w:szCs w:val="22"/>
        </w:rPr>
        <w:t xml:space="preserve">Öffnung der </w:t>
      </w:r>
      <w:r w:rsidR="003B6E5C">
        <w:rPr>
          <w:sz w:val="22"/>
          <w:szCs w:val="22"/>
        </w:rPr>
        <w:t>Ehe für gleichgeschlechtliche Paare</w:t>
      </w:r>
      <w:r w:rsidR="0043337F">
        <w:rPr>
          <w:sz w:val="22"/>
          <w:szCs w:val="22"/>
        </w:rPr>
        <w:t xml:space="preserve"> kurz bevor</w:t>
      </w:r>
      <w:r w:rsidR="003B6E5C">
        <w:rPr>
          <w:sz w:val="22"/>
          <w:szCs w:val="22"/>
        </w:rPr>
        <w:t xml:space="preserve">. </w:t>
      </w:r>
      <w:r w:rsidR="00E521A7">
        <w:rPr>
          <w:sz w:val="22"/>
          <w:szCs w:val="22"/>
        </w:rPr>
        <w:t>Es entspricht dem gesel</w:t>
      </w:r>
      <w:r w:rsidR="00E521A7">
        <w:rPr>
          <w:sz w:val="22"/>
          <w:szCs w:val="22"/>
        </w:rPr>
        <w:t>l</w:t>
      </w:r>
      <w:r w:rsidR="00E521A7">
        <w:rPr>
          <w:sz w:val="22"/>
          <w:szCs w:val="22"/>
        </w:rPr>
        <w:t xml:space="preserve">schaftlichen Bewusstsein, diese Entwicklung </w:t>
      </w:r>
      <w:r w:rsidR="00AD157C">
        <w:rPr>
          <w:sz w:val="22"/>
          <w:szCs w:val="22"/>
        </w:rPr>
        <w:t xml:space="preserve">nun </w:t>
      </w:r>
      <w:r w:rsidR="00E521A7">
        <w:rPr>
          <w:sz w:val="22"/>
          <w:szCs w:val="22"/>
        </w:rPr>
        <w:t>auch in der Bundesrepublik nachzuvol</w:t>
      </w:r>
      <w:r w:rsidR="00E521A7">
        <w:rPr>
          <w:sz w:val="22"/>
          <w:szCs w:val="22"/>
        </w:rPr>
        <w:t>l</w:t>
      </w:r>
      <w:r w:rsidR="00E521A7">
        <w:rPr>
          <w:sz w:val="22"/>
          <w:szCs w:val="22"/>
        </w:rPr>
        <w:t>ziehen.</w:t>
      </w:r>
      <w:r w:rsidR="003B6E5C" w:rsidRPr="003B6E5C">
        <w:rPr>
          <w:sz w:val="22"/>
          <w:szCs w:val="22"/>
        </w:rPr>
        <w:t xml:space="preserve"> </w:t>
      </w:r>
    </w:p>
    <w:sectPr w:rsidR="00E521A7" w:rsidSect="00321D33">
      <w:headerReference w:type="default" r:id="rId7"/>
      <w:type w:val="continuous"/>
      <w:pgSz w:w="11907" w:h="16840" w:code="9"/>
      <w:pgMar w:top="1247" w:right="1247" w:bottom="1474" w:left="1701" w:header="1134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84" w:rsidRDefault="001C2184">
      <w:r>
        <w:separator/>
      </w:r>
    </w:p>
  </w:endnote>
  <w:endnote w:type="continuationSeparator" w:id="0">
    <w:p w:rsidR="001C2184" w:rsidRDefault="001C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84" w:rsidRDefault="001C2184">
      <w:r>
        <w:separator/>
      </w:r>
    </w:p>
  </w:footnote>
  <w:footnote w:type="continuationSeparator" w:id="0">
    <w:p w:rsidR="001C2184" w:rsidRDefault="001C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5A" w:rsidRDefault="0056295A">
    <w:pPr>
      <w:pStyle w:val="Kopfzeile"/>
      <w:jc w:val="center"/>
      <w:rPr>
        <w:rStyle w:val="Seitenzahl"/>
        <w:sz w:val="22"/>
      </w:rPr>
    </w:pPr>
    <w:r>
      <w:rPr>
        <w:sz w:val="22"/>
      </w:rPr>
      <w:t xml:space="preserve">- </w:t>
    </w:r>
    <w:r w:rsidR="00321D33"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 w:rsidR="00321D33">
      <w:rPr>
        <w:rStyle w:val="Seitenzahl"/>
        <w:sz w:val="22"/>
      </w:rPr>
      <w:fldChar w:fldCharType="separate"/>
    </w:r>
    <w:r w:rsidR="006F68C2">
      <w:rPr>
        <w:rStyle w:val="Seitenzahl"/>
        <w:noProof/>
        <w:sz w:val="22"/>
      </w:rPr>
      <w:t>2</w:t>
    </w:r>
    <w:r w:rsidR="00321D33">
      <w:rPr>
        <w:rStyle w:val="Seitenzahl"/>
        <w:sz w:val="22"/>
      </w:rPr>
      <w:fldChar w:fldCharType="end"/>
    </w:r>
    <w:r>
      <w:rPr>
        <w:rStyle w:val="Seitenzahl"/>
        <w:sz w:val="22"/>
      </w:rPr>
      <w:t xml:space="preserve"> -</w:t>
    </w:r>
  </w:p>
  <w:p w:rsidR="0056295A" w:rsidRDefault="0056295A">
    <w:pPr>
      <w:pStyle w:val="Kopfzeile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3E"/>
    <w:rsid w:val="00025E53"/>
    <w:rsid w:val="000446D2"/>
    <w:rsid w:val="000549F6"/>
    <w:rsid w:val="00061821"/>
    <w:rsid w:val="00087B42"/>
    <w:rsid w:val="000B7AB5"/>
    <w:rsid w:val="000F3B2F"/>
    <w:rsid w:val="00150B1F"/>
    <w:rsid w:val="00167D34"/>
    <w:rsid w:val="001A4682"/>
    <w:rsid w:val="001B2CCE"/>
    <w:rsid w:val="001C2184"/>
    <w:rsid w:val="001D4DA0"/>
    <w:rsid w:val="00203D05"/>
    <w:rsid w:val="00245A6E"/>
    <w:rsid w:val="00267A7F"/>
    <w:rsid w:val="00281C4A"/>
    <w:rsid w:val="002A5356"/>
    <w:rsid w:val="002A60E7"/>
    <w:rsid w:val="00321D33"/>
    <w:rsid w:val="003356E3"/>
    <w:rsid w:val="00362108"/>
    <w:rsid w:val="00371F5E"/>
    <w:rsid w:val="003A11F6"/>
    <w:rsid w:val="003B6E5C"/>
    <w:rsid w:val="00423956"/>
    <w:rsid w:val="0043337F"/>
    <w:rsid w:val="004663B2"/>
    <w:rsid w:val="00484AA0"/>
    <w:rsid w:val="004932E1"/>
    <w:rsid w:val="004A64E6"/>
    <w:rsid w:val="004F7157"/>
    <w:rsid w:val="0056295A"/>
    <w:rsid w:val="005770CA"/>
    <w:rsid w:val="00580273"/>
    <w:rsid w:val="005A0817"/>
    <w:rsid w:val="005B685A"/>
    <w:rsid w:val="005D4263"/>
    <w:rsid w:val="0061523A"/>
    <w:rsid w:val="00671B3E"/>
    <w:rsid w:val="00671F78"/>
    <w:rsid w:val="006B052C"/>
    <w:rsid w:val="006B35E7"/>
    <w:rsid w:val="006E082D"/>
    <w:rsid w:val="006F59A4"/>
    <w:rsid w:val="006F68C2"/>
    <w:rsid w:val="0071488A"/>
    <w:rsid w:val="0073263A"/>
    <w:rsid w:val="007D0AFF"/>
    <w:rsid w:val="007E3EFF"/>
    <w:rsid w:val="00811A36"/>
    <w:rsid w:val="00877406"/>
    <w:rsid w:val="008926A9"/>
    <w:rsid w:val="008B434D"/>
    <w:rsid w:val="008C37FD"/>
    <w:rsid w:val="009049EA"/>
    <w:rsid w:val="009539A3"/>
    <w:rsid w:val="00953A22"/>
    <w:rsid w:val="009616B8"/>
    <w:rsid w:val="00980CB0"/>
    <w:rsid w:val="00A3532B"/>
    <w:rsid w:val="00A76FAC"/>
    <w:rsid w:val="00A814F1"/>
    <w:rsid w:val="00A916A5"/>
    <w:rsid w:val="00AD157C"/>
    <w:rsid w:val="00B55361"/>
    <w:rsid w:val="00B86BFF"/>
    <w:rsid w:val="00B9044C"/>
    <w:rsid w:val="00BB0923"/>
    <w:rsid w:val="00BE67E8"/>
    <w:rsid w:val="00C1746E"/>
    <w:rsid w:val="00C46524"/>
    <w:rsid w:val="00C8784A"/>
    <w:rsid w:val="00CA246A"/>
    <w:rsid w:val="00CA4238"/>
    <w:rsid w:val="00D01E22"/>
    <w:rsid w:val="00D22B44"/>
    <w:rsid w:val="00D23B98"/>
    <w:rsid w:val="00D5270A"/>
    <w:rsid w:val="00D57CE8"/>
    <w:rsid w:val="00D67A99"/>
    <w:rsid w:val="00D942BF"/>
    <w:rsid w:val="00DF493C"/>
    <w:rsid w:val="00E01E61"/>
    <w:rsid w:val="00E13717"/>
    <w:rsid w:val="00E31C13"/>
    <w:rsid w:val="00E41CD8"/>
    <w:rsid w:val="00E46B4A"/>
    <w:rsid w:val="00E521A7"/>
    <w:rsid w:val="00E66FAA"/>
    <w:rsid w:val="00E70A71"/>
    <w:rsid w:val="00E71655"/>
    <w:rsid w:val="00E94B84"/>
    <w:rsid w:val="00FA0946"/>
    <w:rsid w:val="00FA1191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45A6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D4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426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45A6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D4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426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"Waschzettel" Senat</vt:lpstr>
    </vt:vector>
  </TitlesOfParts>
  <Company>Freie und Hansestadt Hamburg</Company>
  <LinksUpToDate>false</LinksUpToDate>
  <CharactersWithSpaces>3739</CharactersWithSpaces>
  <SharedDoc>false</SharedDoc>
  <HLinks>
    <vt:vector size="6" baseType="variant">
      <vt:variant>
        <vt:i4>8323150</vt:i4>
      </vt:variant>
      <vt:variant>
        <vt:i4>2348</vt:i4>
      </vt:variant>
      <vt:variant>
        <vt:i4>1026</vt:i4>
      </vt:variant>
      <vt:variant>
        <vt:i4>1</vt:i4>
      </vt:variant>
      <vt:variant>
        <vt:lpwstr>cid:image001.jpg@01CDE8DD.BED5C6F0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"Waschzettel" Senat</dc:title>
  <dc:creator>ESARI</dc:creator>
  <cp:lastModifiedBy>Baehr, Thomas Dr.</cp:lastModifiedBy>
  <cp:revision>2</cp:revision>
  <dcterms:created xsi:type="dcterms:W3CDTF">2013-02-21T13:05:00Z</dcterms:created>
  <dcterms:modified xsi:type="dcterms:W3CDTF">2013-02-21T13:05:00Z</dcterms:modified>
</cp:coreProperties>
</file>